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pStyle w:val="2"/>
        <w:spacing w:line="240" w:lineRule="exact"/>
        <w:jc w:val="center"/>
        <w:rPr>
          <w:rFonts w:hint="eastAsia" w:ascii="方正小标宋简体" w:hAnsi="方正小标宋简体" w:eastAsia="方正小标宋简体" w:cs="方正小标宋简体"/>
          <w:sz w:val="36"/>
          <w:szCs w:val="36"/>
          <w:lang w:val="en-US" w:eastAsia="zh-CN"/>
        </w:rPr>
      </w:pPr>
    </w:p>
    <w:p>
      <w:pPr>
        <w:pStyle w:val="2"/>
        <w:spacing w:line="44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医疗服务与保障能力提升补助资金（医疗保障服务能力建设部分）</w:t>
      </w:r>
    </w:p>
    <w:p>
      <w:pPr>
        <w:pStyle w:val="2"/>
        <w:spacing w:line="44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转移支付区域绩效目标自评表</w:t>
      </w:r>
    </w:p>
    <w:p>
      <w:pPr>
        <w:pStyle w:val="2"/>
        <w:spacing w:line="440" w:lineRule="exact"/>
        <w:jc w:val="cente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（2023年度）</w:t>
      </w:r>
    </w:p>
    <w:tbl>
      <w:tblPr>
        <w:tblStyle w:val="4"/>
        <w:tblW w:w="14686" w:type="dxa"/>
        <w:tblInd w:w="-2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275"/>
        <w:gridCol w:w="1823"/>
        <w:gridCol w:w="1927"/>
        <w:gridCol w:w="1917"/>
        <w:gridCol w:w="4706"/>
        <w:gridCol w:w="1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转移支付（项目）名称</w:t>
            </w:r>
          </w:p>
        </w:tc>
        <w:tc>
          <w:tcPr>
            <w:tcW w:w="1213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right="727" w:rightChars="346"/>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医疗服务与保障能力提升补助资金（医疗保障服务能力建设部分）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中央主管部门</w:t>
            </w:r>
          </w:p>
        </w:tc>
        <w:tc>
          <w:tcPr>
            <w:tcW w:w="1213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国家医疗保障局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地方主管部门</w:t>
            </w:r>
          </w:p>
        </w:tc>
        <w:tc>
          <w:tcPr>
            <w:tcW w:w="3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广西壮族自治区医疗保障局</w:t>
            </w:r>
          </w:p>
        </w:tc>
        <w:tc>
          <w:tcPr>
            <w:tcW w:w="66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资金使用单位</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广西壮族自治区医疗保障局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资金投入情况（万元）</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全年预算数（A）</w:t>
            </w:r>
          </w:p>
        </w:tc>
        <w:tc>
          <w:tcPr>
            <w:tcW w:w="66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全年执行数（B）</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年度资金总额</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17636.39</w:t>
            </w:r>
          </w:p>
        </w:tc>
        <w:tc>
          <w:tcPr>
            <w:tcW w:w="66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17243.44</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其中：中央财政资金</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16477</w:t>
            </w:r>
          </w:p>
        </w:tc>
        <w:tc>
          <w:tcPr>
            <w:tcW w:w="66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16113.55</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地方资金</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66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其他资金</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1159.39</w:t>
            </w:r>
          </w:p>
        </w:tc>
        <w:tc>
          <w:tcPr>
            <w:tcW w:w="66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1129.89</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资金管理情况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情况说明</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分配科学性</w:t>
            </w:r>
          </w:p>
        </w:tc>
        <w:tc>
          <w:tcPr>
            <w:tcW w:w="8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西2023年医保能力提升补助资金分配符合2022年4月国家修订的《医疗服务与保障能力提升补助资金管理办法》以及2022年11月自治区修订的《广西壮族自治区医疗保障服务能力建设中央财政补助资金管理实施细则》等文件规定，分配科学合理。</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2"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下达及时性</w:t>
            </w:r>
          </w:p>
        </w:tc>
        <w:tc>
          <w:tcPr>
            <w:tcW w:w="8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西严格按照预算法规定，自治区医保局制定资金分配方案后按规定履行报批程序及时报送至自治区财政厅，自治区财政厅审核自治区医保局报送的资金分配方案，对于直达资金，及时向财政部备案，均在收到中央补助资金文件30日内，将预算下达至各统筹地区，并抄送财政部广西监管局。</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拨付合规性</w:t>
            </w:r>
          </w:p>
        </w:tc>
        <w:tc>
          <w:tcPr>
            <w:tcW w:w="8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治区医保局在分配医保能力提升补助资金时，均按照局内“三重一大”制度以及党组议事清单要求呈党组会审议通过后报送自治区财政厅，并按照《中华人民共和国预算法》规定的时限要求，会同自治区财政厅将分配方案报送自治区人民政府进行审定后分解下达资金预算及区域绩效目标表至自治区本级、市、县（市、区）。广西医保信息平台建设项目按国家医保局、发展改革部门、财政部门的相关规定履行了立项审批、预算评审等报批程序。</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使用规范性</w:t>
            </w:r>
          </w:p>
        </w:tc>
        <w:tc>
          <w:tcPr>
            <w:tcW w:w="8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自治区本级、市、县（市、区）严格按照《广西壮族自治区医疗保障服务能力建设中央财政补助资金管理实施细则》和内部控制制度的要求，合规使用资金。</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执行准确性</w:t>
            </w:r>
          </w:p>
        </w:tc>
        <w:tc>
          <w:tcPr>
            <w:tcW w:w="8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广西各级严格在规定范围内使用资金，2023年医保能力提升补助资金预算执行率97.77%，预算执行未出现明显偏差。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预算绩效管理情况</w:t>
            </w:r>
          </w:p>
        </w:tc>
        <w:tc>
          <w:tcPr>
            <w:tcW w:w="8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西2023年医保能力提升补助资金下达自治区本级、市、县（市、区）的年度绩效目标与中央下达保持一致，另根据自治区本级、市县分别承担的工作任务，对绩效指标做了细化并区分设置，细化为34条〈其中：自治区本级适用34条，市、县（市、区）适用24条〉。2024年3月中旬，自治区医保局组织全区各级医保部门对补助资金开展绩效自评，引入第三方机构对自治区本级、市、县（市、区）自评情况开展绩效复评，其中：对自治区本级、14个市本级、28个县（市、区）开展实地评价，其余县（市、区）开展书面评价。</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5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支出责任履行情况</w:t>
            </w:r>
          </w:p>
        </w:tc>
        <w:tc>
          <w:tcPr>
            <w:tcW w:w="8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西各级医保部门，统筹中央和地方资金，用于医保信息化标准化、基金监管、经办管理、目录监管、医保支付方式改革、药品和医用耗材集中带量采购、医疗服务价格等方面，履行同级支出责任，做好医疗保障服务能力建设。</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总体目标完成情况</w:t>
            </w:r>
          </w:p>
        </w:tc>
        <w:tc>
          <w:tcPr>
            <w:tcW w:w="50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总体目标</w:t>
            </w:r>
          </w:p>
        </w:tc>
        <w:tc>
          <w:tcPr>
            <w:tcW w:w="83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9"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50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有效提升医保信息化标准化、基金监管、经办管理、目录监管水平，推进医保支付方式、药品和医用耗材集中带量采购、医疗服务价格等改革任务。</w:t>
            </w:r>
          </w:p>
        </w:tc>
        <w:tc>
          <w:tcPr>
            <w:tcW w:w="83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color w:val="000000"/>
                <w:kern w:val="0"/>
                <w:sz w:val="24"/>
                <w:lang w:bidi="ar"/>
              </w:rPr>
              <w:t>2023年度总体绩效目标已完成。通过项目实施，有效提升医保信息化标准化、基金监管、经办管理、目录监管、医保支付方式改革、药品和医用耗材集中带量采购、医疗服务价格等方面的医疗保障服务能力。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绩效指标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一级指标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二级指标</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三级指标</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指标值</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全年完成值</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产出指标</w:t>
            </w:r>
          </w:p>
        </w:tc>
        <w:tc>
          <w:tcPr>
            <w:tcW w:w="18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数量指标</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医保信息系统正常运行率</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≥90%</w:t>
            </w:r>
          </w:p>
        </w:tc>
        <w:tc>
          <w:tcPr>
            <w:tcW w:w="4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医保信息系统重大安全事件响应时间</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≤60分钟</w:t>
            </w:r>
          </w:p>
        </w:tc>
        <w:tc>
          <w:tcPr>
            <w:tcW w:w="4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60分钟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医保信息系统运行维护响应时间</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≤30分钟</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30分钟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每个县（区）范围内开通门诊慢特病相关治疗费用跨省联网定点医疗机构数量</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开展村（社区）级医保服务、有网点提供帮办、代办服务的村（社区）覆盖率</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4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99.91%</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短缺药品异常高价和异常配送核查处置情况</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处置率达100%</w:t>
            </w:r>
          </w:p>
        </w:tc>
        <w:tc>
          <w:tcPr>
            <w:tcW w:w="4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每年开展药品挂网价格联动</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开展药品和医用耗材价格监测并上报国家医保局</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提升公立医疗机构平台采购药品耗材比例</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药品网采率≥85%，高值医用耗材网采率≥75%</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药品网采率90.36%，高值医用耗材网采率83.73%</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质量指标</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医保基金综合监管能力</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有所提升</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所提升。2023年常态化开展日常检查、飞行检查、交叉检查、专项检查，连续五年实现现场检查全覆盖，制定印发《广西壮族自治区医疗保障基金使用监督管理行政处罚裁量基准（试行）》，优化出台《广西违法违规使用医疗保障基金举报奖励办法实施细则》。实现医保基金综合监管能力有所提升的预期目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基金预警和风险防控能力</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有所提高</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有所提高。开展城乡居民医保新政策对基金运行影响情况分析；形成医疗救助补助资金调研报告，为政策调整提供参考。</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推进医保支付方式改革</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省级出台支付方式改革文件并落实到位。DRG/DIP付费交叉调研结果为优秀</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已出台支付方式改革文件并落实到位，DRG/DIP付费交叉调研结果为优秀。2023年，实施紧密型县域医共体医保支付政策，印发《广西壮族自治区推进紧密型县域医疗卫生共同体医保支付方式改革实施方案》，会同卫生健康、中医药等部门开展试点工作。推进符合中医药特点的医保支付，印发《关于开展部分中医病种付费工作的通知》。开展长期康复治疗床日付费费用测算，推进床日付费改革。在2023年DRG/DIP付费交叉调研中，广西的评估结果为优秀。实现省级出台支付方式改革文件并落实到位，DRG/DIP付费交叉调研结果为优秀的预期目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医保经办服务能力</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有所提升</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所提升。一是实施“五免五减”医保为民微改革。二是推出医保经办服务“10项微改革”。三是推进医保经办政务服务事项“广西通办”“全程网办”“跨省通办”。四是延伸医保服务“神经末梢”。五是推进医保零星报销网上办、掌上办。六是推进“互联网+”医保服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医保标准化水平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显著提升</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显著提升。2023年广西实施医疗保障公共服务标准化行动，搭建医疗保障公共服务标准框架，逐步形成广西医保经办公共服务事项标准化服务体系。实现医保标准化水平显著提升的预期目标。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医疗服务价格动态调整与深化医疗服务价格改革试点执行情况</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按要求开展调价评估并进行调价，做好医疗服务价格管理与深化医疗服务价格改革方向一致性工作</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按要求开展调价评估并进行调价，做好医疗服务价格管理与深化医疗服务价格改革方向一致性工作。2023年，对自治区人民医院等4家区直驻邕公立医疗机构开展人类辅助生殖技术医疗服务项目价格及成本调查，为政策调整开展相关数据统计汇总；采集广西卫生健康、统计、医疗保障等部门2022年度相关指标数据，对广西医疗服务价格动态调整进行综合评估，形成了广西2023年度医疗服务价格动态调整评估报告。</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集中带量采购落实情况</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完成国家组织集中采购中选产品约定采购量</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已完成国家组织集中采购中选产品约定采购量。实现完成国家组织集中采购中选产品约定采购量的预期目标。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医药价格和招采信用评价制度建立和实施情况</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限定时限内反馈案源处理情况</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已完成。</w:t>
            </w:r>
            <w:r>
              <w:rPr>
                <w:rFonts w:hint="eastAsia" w:ascii="仿宋_GB2312" w:hAnsi="仿宋_GB2312" w:eastAsia="仿宋_GB2312" w:cs="仿宋_GB2312"/>
                <w:color w:val="000000"/>
                <w:kern w:val="0"/>
                <w:sz w:val="24"/>
                <w:lang w:bidi="ar"/>
              </w:rPr>
              <w:t>实现限定时限内反馈案源处理情况的预期目标。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招采子系统落地应用情况</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实现交易、采购等核心功能应用</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已实现交易、采购等核心功能应用。100%。2023年6月15日起，广西全面上线运行国家医疗保障信息平台药品和医用耗材招采管理子系统，启用申投诉管理、药品招标管理、耗材招标管理、试剂招标管理、药品交易结算、耗材交易结算、试剂交易结算、用户基础设置等8个功能模块。</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国谈药等相关药品落地及统计监测情况</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国谈药品落地数据报送及时率100%</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国谈药品落地数据报送及时率100%。2023年，广西按月报送医保药品监测相关数据，实现国谈药等相关药品落地及统计监测情况按时按要求落实和执行的预期目标。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医保目录管理规范性情况</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年内未出现违反目录管理政策情况</w:t>
            </w:r>
          </w:p>
        </w:tc>
        <w:tc>
          <w:tcPr>
            <w:tcW w:w="4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年内未出现违反目录管理政策情况。印发《自治区医保局 自治区人力资源社会保障厅关于执行国家基本医疗保险、工伤保险和生育保险药品目录的通知》（桂医保发〔2023〕46号），严格执行2023版国家药品目录。在此基础上，广西建立了门诊慢性病用药保障机制，并实行门诊特殊用药单列统筹支付；及时将国家谈判及竞价药品纳入医保支付范围并通过医院、药店“双通道”予以保障，一批治疗肿瘤、罕见病的药品通过谈判降价后得到医保报销，极大减轻了患者负担，人民群众就医用药的可及性不断提升。在医保服务项目管理方面，及时组织开展动态调整。实现年内未出现违反目录管理的预期目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满意度</w:t>
            </w:r>
          </w:p>
        </w:tc>
        <w:tc>
          <w:tcPr>
            <w:tcW w:w="182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服务对象满意度</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参保人员对医保服务的满意度</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w:t>
            </w:r>
          </w:p>
        </w:tc>
        <w:tc>
          <w:tcPr>
            <w:tcW w:w="4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89.59%</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12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说明</w:t>
            </w:r>
          </w:p>
        </w:tc>
        <w:tc>
          <w:tcPr>
            <w:tcW w:w="13411"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FF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14686"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注:1.资金使用单位按项目绩效目标填报，主管部门汇总时按区域绩效目标填报。</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2.其他资金包括和中央补助、地方财政</w:t>
            </w:r>
            <w:bookmarkStart w:id="0" w:name="_GoBack"/>
            <w:bookmarkEnd w:id="0"/>
            <w:r>
              <w:rPr>
                <w:rFonts w:hint="eastAsia" w:ascii="仿宋_GB2312" w:hAnsi="仿宋_GB2312" w:eastAsia="仿宋_GB2312" w:cs="仿宋_GB2312"/>
                <w:i w:val="0"/>
                <w:color w:val="000000"/>
                <w:kern w:val="0"/>
                <w:sz w:val="24"/>
                <w:szCs w:val="24"/>
                <w:u w:val="none"/>
                <w:lang w:val="en-US" w:eastAsia="zh-CN" w:bidi="ar"/>
              </w:rPr>
              <w:t>资金共同投入到同一项目的自有资金、社会资金，以及以前年度的结转结余资金等。</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3.全年执行数是指按照国库集中支付制度要求形成的实际支出。</w:t>
            </w:r>
          </w:p>
        </w:tc>
      </w:tr>
    </w:tbl>
    <w:p/>
    <w:sectPr>
      <w:pgSz w:w="16838" w:h="23811"/>
      <w:pgMar w:top="1417" w:right="1587" w:bottom="141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1A2A3E3D"/>
    <w:rsid w:val="1A2A3E3D"/>
    <w:rsid w:val="2F124686"/>
    <w:rsid w:val="5C78399F"/>
    <w:rsid w:val="6E8A6D2F"/>
    <w:rsid w:val="72DA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3437</Words>
  <Characters>3649</Characters>
  <Lines>0</Lines>
  <Paragraphs>0</Paragraphs>
  <TotalTime>2</TotalTime>
  <ScaleCrop>false</ScaleCrop>
  <LinksUpToDate>false</LinksUpToDate>
  <CharactersWithSpaces>3658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2024-05-14T03:08:00Z</dcterms:created>
  <dc:creator>纯粹几何</dc:creator>
  <cp:lastModifiedBy>纯粹几何</cp:lastModifiedBy>
  <dcterms:modified xsi:type="dcterms:W3CDTF">2024-05-16T03:12:03Z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93251A27B3414FD6A75F05233E183E09_13</vt:lpwstr>
  </property>
</Properties>
</file>