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1125"/>
        <w:gridCol w:w="1965"/>
        <w:gridCol w:w="1260"/>
        <w:gridCol w:w="1110"/>
        <w:gridCol w:w="1245"/>
        <w:gridCol w:w="3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58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atLeast"/>
        </w:trPr>
        <w:tc>
          <w:tcPr>
            <w:tcW w:w="1158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中央对地方转移支付绩效目标自评表城乡医疗救助补助资金（含彩票公益金)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158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转移支付（项目）名称</w:t>
            </w:r>
          </w:p>
        </w:tc>
        <w:tc>
          <w:tcPr>
            <w:tcW w:w="93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中央财政城乡医疗救助补助资金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中央主管部门</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国家医疗保障局</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地方主管部门</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广西壮族自治区医疗保障局</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3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2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项目资金（万元）</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132943万元</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132943万元</w:t>
            </w:r>
          </w:p>
        </w:tc>
        <w:tc>
          <w:tcPr>
            <w:tcW w:w="3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2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其中：中央补助</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122943万元</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122943万元</w:t>
            </w:r>
          </w:p>
        </w:tc>
        <w:tc>
          <w:tcPr>
            <w:tcW w:w="3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2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地方资金</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10000万元</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10000万元</w:t>
            </w:r>
          </w:p>
        </w:tc>
        <w:tc>
          <w:tcPr>
            <w:tcW w:w="3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2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3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年度总体目标</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年初设定目标</w:t>
            </w:r>
          </w:p>
        </w:tc>
        <w:tc>
          <w:tcPr>
            <w:tcW w:w="61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通过实施城乡医疗救助，开展重特大疾病医疗救助工作，医疗救助对象人次规模不低于上年，重点对象自负费用年度限额内住院救助比例达到70%。</w:t>
            </w:r>
          </w:p>
        </w:tc>
        <w:tc>
          <w:tcPr>
            <w:tcW w:w="61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资助参保和直接救助的方式，对城乡困难群众开展医疗救助，实施重特大疾病医疗救助工作，确保重特大疾病救助对象应救尽救，全面实现医疗救助对象人次规模不低于上年，重点对象自负费用年度限额内住院救助比例达到70%的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全年完成值</w:t>
            </w:r>
          </w:p>
        </w:tc>
        <w:tc>
          <w:tcPr>
            <w:tcW w:w="3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重特大疾病医疗救助人次占直接救助人次比例</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18.15%</w:t>
            </w:r>
          </w:p>
        </w:tc>
        <w:tc>
          <w:tcPr>
            <w:tcW w:w="3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未完成原因：</w:t>
            </w:r>
            <w:r>
              <w:rPr>
                <w:rFonts w:hint="eastAsia" w:ascii="宋体" w:hAnsi="宋体" w:eastAsia="宋体" w:cs="宋体"/>
                <w:i w:val="0"/>
                <w:color w:val="000000"/>
                <w:kern w:val="0"/>
                <w:sz w:val="20"/>
                <w:szCs w:val="20"/>
                <w:u w:val="none"/>
                <w:lang w:val="en-US" w:eastAsia="zh-CN" w:bidi="ar"/>
              </w:rPr>
              <w:t>一是广西已对重特大疾病医疗救助对象实行100%救助。为提高救助对象保障水平，2019年，自治区医保局会同有关部门出台了《关于完善城乡困难群众医疗救助制度的通知》（桂医保规〔2019〕3号），明确将罹患重特大疾病的救助对象分别按病种和实际发生费用纳入救助范围，实现了重特大疾病救助的应救尽救。二是各地重特大疾病发病率为客观因素，难以人为控制。在广西已对重特大疾病医疗救助对象100%救治的前提下，重特大疾病医疗救助人次占直接救助人次比例仍低于28%的指标值，我区认为政策执行的初衷在于保障重特大疾病救助对象待遇，确保符合条件的重特大疾病医疗救助对象应救尽救，但是将重特大疾病医疗救助人次占直接救助人次的比例受重特大疾病发病率影响较大，无法体现出重特大疾病医疗救助对象享受有关倾斜的待遇的真实情况。</w:t>
            </w:r>
            <w:r>
              <w:rPr>
                <w:rFonts w:hint="eastAsia" w:ascii="宋体" w:hAnsi="宋体" w:eastAsia="宋体" w:cs="宋体"/>
                <w:b/>
                <w:i w:val="0"/>
                <w:color w:val="000000"/>
                <w:kern w:val="0"/>
                <w:sz w:val="20"/>
                <w:szCs w:val="20"/>
                <w:u w:val="none"/>
                <w:lang w:val="en-US" w:eastAsia="zh-CN" w:bidi="ar"/>
              </w:rPr>
              <w:t>改进措施：</w:t>
            </w:r>
            <w:r>
              <w:rPr>
                <w:rFonts w:hint="eastAsia" w:ascii="宋体" w:hAnsi="宋体" w:eastAsia="宋体" w:cs="宋体"/>
                <w:i w:val="0"/>
                <w:color w:val="000000"/>
                <w:kern w:val="0"/>
                <w:sz w:val="20"/>
                <w:szCs w:val="20"/>
                <w:u w:val="none"/>
                <w:lang w:val="en-US" w:eastAsia="zh-CN" w:bidi="ar"/>
              </w:rPr>
              <w:t>一是健全重特大疾病医疗救助制度。根据深化医疗保障制度改革的要求，持续完善重特大疾病医疗救助政策，提高医疗救助兜底保障能力。二是加强监督指导。持续督促各市、县（市、区）医保部门规范数据统计口径，统一明确应计入重特大疾病医疗救助的人次和金额的范围，确保数据完整准确。三是加强沟通请示。积极向国家医保局反映广西重特大疾病患病率客观实际情况，争取协商调整评价指标，确保指标合理评价重特大疾病困难群众应救尽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医疗救助对象人次规模</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符合救助条件的对象按规定纳入救助范围</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资助参保391.64万人，直接救助331.41万人次。</w:t>
            </w:r>
          </w:p>
        </w:tc>
        <w:tc>
          <w:tcPr>
            <w:tcW w:w="3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医疗救助重点救助对象自负医疗费用年度限额内住院救助比例</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3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2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“一站式”即时结算覆盖率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不低于上年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由实现县域内“一站式”即时结算扩大到实现市域内“一站式”即时结算</w:t>
            </w:r>
          </w:p>
        </w:tc>
        <w:tc>
          <w:tcPr>
            <w:tcW w:w="3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医疗救助对象范围覆盖</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稳步拓展</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各地将符合条件的建档立卡边缘户纳入医疗救助对象范围</w:t>
            </w:r>
          </w:p>
        </w:tc>
        <w:tc>
          <w:tcPr>
            <w:tcW w:w="3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困难群众看病就医方便程度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明显提高</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门诊特殊慢性病卡办理流程更简化，“一站式”直接结算覆盖面更广，困难群众就医方便程度明显提高</w:t>
            </w:r>
          </w:p>
        </w:tc>
        <w:tc>
          <w:tcPr>
            <w:tcW w:w="3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困难群众医疗费用负担减轻程度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有效缓解</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2020年为困难群众减轻就医费用负担14.98亿，有效缓解群众负担。</w:t>
            </w:r>
          </w:p>
        </w:tc>
        <w:tc>
          <w:tcPr>
            <w:tcW w:w="3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对健全社会救助体系的影响</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成效明显</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夯实医疗救助兜底保障线，对健全社会救助体系有明显成效</w:t>
            </w:r>
          </w:p>
        </w:tc>
        <w:tc>
          <w:tcPr>
            <w:tcW w:w="3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对健全医疗保障制度体系的作用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成效明显</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夯实医疗救助兜底保障线，对健全医疗保障制度体系有明显成效</w:t>
            </w:r>
          </w:p>
        </w:tc>
        <w:tc>
          <w:tcPr>
            <w:tcW w:w="3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3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政策知晓率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85.86%</w:t>
            </w:r>
          </w:p>
        </w:tc>
        <w:tc>
          <w:tcPr>
            <w:tcW w:w="3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2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工作满意度</w:t>
            </w:r>
          </w:p>
        </w:tc>
        <w:tc>
          <w:tcPr>
            <w:tcW w:w="11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85.86%</w:t>
            </w:r>
          </w:p>
        </w:tc>
        <w:tc>
          <w:tcPr>
            <w:tcW w:w="3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说明</w:t>
            </w:r>
          </w:p>
        </w:tc>
        <w:tc>
          <w:tcPr>
            <w:tcW w:w="105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请在此处简要说明中央巡视、各级审计和财政监督中发现的问题及其所涉及的金额，如没有请填吴。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19" w:hRule="atLeast"/>
        </w:trPr>
        <w:tc>
          <w:tcPr>
            <w:tcW w:w="11580" w:type="dxa"/>
            <w:gridSpan w:val="7"/>
            <w:tcBorders>
              <w:top w:val="nil"/>
              <w:left w:val="single" w:color="000000" w:sz="8" w:space="0"/>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注:1其他资金包括和中央补助、地方财</w:t>
            </w:r>
            <w:bookmarkStart w:id="0" w:name="_GoBack"/>
            <w:bookmarkEnd w:id="0"/>
            <w:r>
              <w:rPr>
                <w:rFonts w:hint="eastAsia" w:ascii="宋体" w:hAnsi="宋体" w:eastAsia="宋体" w:cs="宋体"/>
                <w:i w:val="0"/>
                <w:color w:val="000000"/>
                <w:kern w:val="0"/>
                <w:sz w:val="18"/>
                <w:szCs w:val="18"/>
                <w:u w:val="none"/>
                <w:lang w:val="en-US" w:eastAsia="zh-CN" w:bidi="ar"/>
              </w:rPr>
              <w:t>政资金共同投入到同一项目的自有资金、社会资金，以及以前年度的结转结余资金等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2.定量指标，资金使用单位填写本地区实际完成数。財政和主管部门汇总时，对绝对值直接累加计算，相对值按照资金颗度加权平均计算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3.定性指标根据指标完成情况分为:全部或基本达成预期指标、部分达成预期指标并具有一定效果、未达成预期指标且效果较差三档，分别按照100％-80％(含)、80％-60％(含)、60-0％合理填写完成比例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4.资金使用单位按项目填报，主管部门和财政部门汇总时按区域绩效目标填报</w:t>
            </w:r>
          </w:p>
        </w:tc>
      </w:tr>
    </w:tbl>
    <w:p/>
    <w:sectPr>
      <w:pgSz w:w="16838" w:h="11906" w:orient="landscape"/>
      <w:pgMar w:top="1417" w:right="1928" w:bottom="1417" w:left="1814"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3EF86BE3"/>
    <w:rsid w:val="24171F74"/>
    <w:rsid w:val="3EF86BE3"/>
    <w:rsid w:val="53DE34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2021-05-21T10:16:00Z</dcterms:created>
  <dc:creator>dengd</dc:creator>
  <cp:lastModifiedBy>纯粹几何</cp:lastModifiedBy>
  <dcterms:modified xsi:type="dcterms:W3CDTF">2023-10-07T03:58:52Z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6D0508F9330F4341962581BE22BBC806_13</vt:lpwstr>
  </property>
</Properties>
</file>