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5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fixed"/>
        <w:tblCellMar>
          <w:top w:w="60" w:type="dxa"/>
          <w:left w:w="120" w:type="dxa"/>
          <w:bottom w:w="60" w:type="dxa"/>
          <w:right w:w="120" w:type="dxa"/>
        </w:tblCellMar>
      </w:tblPr>
      <w:tblGrid>
        <w:gridCol w:w="3103"/>
        <w:gridCol w:w="810"/>
        <w:gridCol w:w="1032"/>
        <w:gridCol w:w="1860"/>
        <w:gridCol w:w="1704"/>
        <w:gridCol w:w="1068"/>
        <w:gridCol w:w="179"/>
        <w:gridCol w:w="1381"/>
        <w:gridCol w:w="281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1945" w:hRule="atLeast"/>
        </w:trPr>
        <w:tc>
          <w:tcPr>
            <w:tcW w:w="13955" w:type="dxa"/>
            <w:gridSpan w:val="9"/>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eastAsia="sans-serif" w:cs="Arial"/>
                <w:i w:val="0"/>
                <w:iCs w:val="0"/>
                <w:caps w:val="0"/>
                <w:color w:val="000000"/>
                <w:spacing w:val="0"/>
                <w:sz w:val="24"/>
                <w:szCs w:val="24"/>
                <w:bdr w:val="none" w:color="auto" w:sz="0" w:space="0"/>
              </w:rPr>
            </w:pPr>
            <w:bookmarkStart w:id="0" w:name="_GoBack"/>
            <w:r>
              <w:rPr>
                <w:rFonts w:hint="default" w:ascii="Arial" w:hAnsi="Arial" w:eastAsia="sans-serif" w:cs="Arial"/>
                <w:b w:val="0"/>
                <w:bCs w:val="0"/>
                <w:i w:val="0"/>
                <w:iCs w:val="0"/>
                <w:caps w:val="0"/>
                <w:color w:val="000000"/>
                <w:spacing w:val="0"/>
                <w:sz w:val="44"/>
                <w:szCs w:val="44"/>
                <w:bdr w:val="none" w:color="auto" w:sz="0" w:space="0"/>
              </w:rPr>
              <w:t>中央转移支付区域绩效目标自评表医疗服务与保障能力提升补助资金（医疗保障能力建设部分）</w:t>
            </w:r>
            <w:bookmarkEnd w:id="0"/>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567" w:hRule="atLeast"/>
        </w:trPr>
        <w:tc>
          <w:tcPr>
            <w:tcW w:w="3103" w:type="dxa"/>
            <w:tcBorders>
              <w:top w:val="single" w:color="auto" w:sz="4" w:space="0"/>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​转移支付（项目）名称</w:t>
            </w:r>
          </w:p>
        </w:tc>
        <w:tc>
          <w:tcPr>
            <w:tcW w:w="10852" w:type="dxa"/>
            <w:gridSpan w:val="8"/>
            <w:tcBorders>
              <w:top w:val="single" w:color="auto" w:sz="4" w:space="0"/>
              <w:left w:val="single" w:color="000000" w:sz="2"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医疗服务与保障能力提升补助资金（医疗保障能力建设部分）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567" w:hRule="atLeast"/>
        </w:trPr>
        <w:tc>
          <w:tcPr>
            <w:tcW w:w="3103"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中央主管部门</w:t>
            </w:r>
          </w:p>
        </w:tc>
        <w:tc>
          <w:tcPr>
            <w:tcW w:w="10852" w:type="dxa"/>
            <w:gridSpan w:val="8"/>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国家医疗保障局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567" w:hRule="atLeast"/>
        </w:trPr>
        <w:tc>
          <w:tcPr>
            <w:tcW w:w="3103"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地方主管部门</w:t>
            </w:r>
          </w:p>
        </w:tc>
        <w:tc>
          <w:tcPr>
            <w:tcW w:w="3702"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广西壮族自治区医疗保障局</w:t>
            </w:r>
          </w:p>
        </w:tc>
        <w:tc>
          <w:tcPr>
            <w:tcW w:w="277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Arial" w:hAnsi="Arial" w:cs="Arial" w:eastAsiaTheme="minorEastAsia"/>
                <w:sz w:val="24"/>
                <w:szCs w:val="24"/>
                <w:lang w:val="en-US" w:eastAsia="zh-CN"/>
              </w:rPr>
            </w:pPr>
            <w:r>
              <w:rPr>
                <w:rFonts w:hint="eastAsia" w:ascii="Arial" w:hAnsi="Arial" w:cs="Arial"/>
                <w:sz w:val="24"/>
                <w:szCs w:val="24"/>
                <w:lang w:val="en-US" w:eastAsia="zh-CN"/>
              </w:rPr>
              <w:t>实施单位</w:t>
            </w:r>
          </w:p>
        </w:tc>
        <w:tc>
          <w:tcPr>
            <w:tcW w:w="4378"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default" w:ascii="Arial" w:hAnsi="Arial" w:eastAsia="sans-serif" w:cs="Arial"/>
                <w:i w:val="0"/>
                <w:iCs w:val="0"/>
                <w:caps w:val="0"/>
                <w:color w:val="000000"/>
                <w:spacing w:val="0"/>
                <w:sz w:val="24"/>
                <w:szCs w:val="24"/>
                <w:bdr w:val="none" w:color="auto" w:sz="0" w:space="0"/>
              </w:rPr>
            </w:pPr>
            <w:r>
              <w:rPr>
                <w:rFonts w:hint="default" w:ascii="Arial" w:hAnsi="Arial" w:eastAsia="sans-serif" w:cs="Arial"/>
                <w:i w:val="0"/>
                <w:iCs w:val="0"/>
                <w:caps w:val="0"/>
                <w:color w:val="000000"/>
                <w:spacing w:val="0"/>
                <w:sz w:val="24"/>
                <w:szCs w:val="24"/>
                <w:bdr w:val="none" w:color="auto" w:sz="0" w:space="0"/>
              </w:rPr>
              <w:t>广西壮族自治区医疗保障局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各市医疗保障局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567" w:hRule="atLeast"/>
        </w:trPr>
        <w:tc>
          <w:tcPr>
            <w:tcW w:w="3103" w:type="dxa"/>
            <w:vMerge w:val="restart"/>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项目金额（万元）</w:t>
            </w:r>
          </w:p>
        </w:tc>
        <w:tc>
          <w:tcPr>
            <w:tcW w:w="81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left"/>
              <w:rPr>
                <w:rFonts w:hint="default" w:ascii="Arial" w:hAnsi="Arial" w:eastAsia="sans-serif" w:cs="Arial"/>
                <w:i w:val="0"/>
                <w:iCs w:val="0"/>
                <w:caps w:val="0"/>
                <w:color w:val="000000"/>
                <w:spacing w:val="0"/>
                <w:sz w:val="24"/>
                <w:szCs w:val="24"/>
              </w:rPr>
            </w:pPr>
          </w:p>
        </w:tc>
        <w:tc>
          <w:tcPr>
            <w:tcW w:w="289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全面预算数（A）</w:t>
            </w:r>
          </w:p>
        </w:tc>
        <w:tc>
          <w:tcPr>
            <w:tcW w:w="277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全面执行数（B）</w:t>
            </w:r>
          </w:p>
        </w:tc>
        <w:tc>
          <w:tcPr>
            <w:tcW w:w="4378"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预算执行率（B/A）</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1701"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81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年度资金总额</w:t>
            </w:r>
          </w:p>
        </w:tc>
        <w:tc>
          <w:tcPr>
            <w:tcW w:w="289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9265</w:t>
            </w:r>
          </w:p>
        </w:tc>
        <w:tc>
          <w:tcPr>
            <w:tcW w:w="277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4433.49</w:t>
            </w:r>
          </w:p>
        </w:tc>
        <w:tc>
          <w:tcPr>
            <w:tcW w:w="4378"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47.85%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1701"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81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其中中央补助</w:t>
            </w:r>
          </w:p>
        </w:tc>
        <w:tc>
          <w:tcPr>
            <w:tcW w:w="289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9265</w:t>
            </w:r>
          </w:p>
        </w:tc>
        <w:tc>
          <w:tcPr>
            <w:tcW w:w="277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4433.49</w:t>
            </w:r>
          </w:p>
        </w:tc>
        <w:tc>
          <w:tcPr>
            <w:tcW w:w="4378"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47.85%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1701"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81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地方资金</w:t>
            </w:r>
          </w:p>
        </w:tc>
        <w:tc>
          <w:tcPr>
            <w:tcW w:w="289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left"/>
              <w:rPr>
                <w:rFonts w:hint="default" w:ascii="Arial" w:hAnsi="Arial" w:eastAsia="sans-serif" w:cs="Arial"/>
                <w:i w:val="0"/>
                <w:iCs w:val="0"/>
                <w:caps w:val="0"/>
                <w:color w:val="000000"/>
                <w:spacing w:val="0"/>
                <w:sz w:val="24"/>
                <w:szCs w:val="24"/>
              </w:rPr>
            </w:pPr>
          </w:p>
        </w:tc>
        <w:tc>
          <w:tcPr>
            <w:tcW w:w="277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left"/>
              <w:rPr>
                <w:rFonts w:hint="default" w:ascii="Arial" w:hAnsi="Arial" w:eastAsia="sans-serif" w:cs="Arial"/>
                <w:i w:val="0"/>
                <w:iCs w:val="0"/>
                <w:caps w:val="0"/>
                <w:color w:val="000000"/>
                <w:spacing w:val="0"/>
                <w:sz w:val="24"/>
                <w:szCs w:val="24"/>
              </w:rPr>
            </w:pPr>
          </w:p>
        </w:tc>
        <w:tc>
          <w:tcPr>
            <w:tcW w:w="4378"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left"/>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1701"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81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其他资金</w:t>
            </w:r>
          </w:p>
        </w:tc>
        <w:tc>
          <w:tcPr>
            <w:tcW w:w="289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left"/>
              <w:rPr>
                <w:rFonts w:hint="default" w:ascii="Arial" w:hAnsi="Arial" w:eastAsia="sans-serif" w:cs="Arial"/>
                <w:i w:val="0"/>
                <w:iCs w:val="0"/>
                <w:caps w:val="0"/>
                <w:color w:val="000000"/>
                <w:spacing w:val="0"/>
                <w:sz w:val="24"/>
                <w:szCs w:val="24"/>
              </w:rPr>
            </w:pPr>
          </w:p>
        </w:tc>
        <w:tc>
          <w:tcPr>
            <w:tcW w:w="277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left"/>
              <w:rPr>
                <w:rFonts w:hint="default" w:ascii="Arial" w:hAnsi="Arial" w:eastAsia="sans-serif" w:cs="Arial"/>
                <w:i w:val="0"/>
                <w:iCs w:val="0"/>
                <w:caps w:val="0"/>
                <w:color w:val="000000"/>
                <w:spacing w:val="0"/>
                <w:sz w:val="24"/>
                <w:szCs w:val="24"/>
              </w:rPr>
            </w:pPr>
          </w:p>
        </w:tc>
        <w:tc>
          <w:tcPr>
            <w:tcW w:w="4378"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left"/>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567" w:hRule="atLeast"/>
        </w:trPr>
        <w:tc>
          <w:tcPr>
            <w:tcW w:w="3103" w:type="dxa"/>
            <w:vMerge w:val="restart"/>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年度总体目标</w:t>
            </w:r>
          </w:p>
        </w:tc>
        <w:tc>
          <w:tcPr>
            <w:tcW w:w="3702" w:type="dxa"/>
            <w:gridSpan w:val="3"/>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年初设定目标</w:t>
            </w:r>
          </w:p>
        </w:tc>
        <w:tc>
          <w:tcPr>
            <w:tcW w:w="7150" w:type="dxa"/>
            <w:gridSpan w:val="5"/>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全年实际完成情况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480"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3702" w:type="dxa"/>
            <w:gridSpan w:val="3"/>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提升医保信息化水平，加强网络、信息安全、基础设施等方面建设</w:t>
            </w:r>
            <w:r>
              <w:rPr>
                <w:rFonts w:hint="eastAsia" w:ascii="Arial" w:hAnsi="Arial" w:eastAsia="宋体" w:cs="Arial"/>
                <w:i w:val="0"/>
                <w:iCs w:val="0"/>
                <w:caps w:val="0"/>
                <w:color w:val="000000"/>
                <w:spacing w:val="0"/>
                <w:sz w:val="24"/>
                <w:szCs w:val="24"/>
                <w:bdr w:val="none" w:color="auto" w:sz="0" w:space="0"/>
                <w:lang w:eastAsia="zh-CN"/>
              </w:rPr>
              <w:t>，</w:t>
            </w:r>
            <w:r>
              <w:rPr>
                <w:rFonts w:hint="default" w:ascii="Arial" w:hAnsi="Arial" w:eastAsia="sans-serif" w:cs="Arial"/>
                <w:i w:val="0"/>
                <w:iCs w:val="0"/>
                <w:caps w:val="0"/>
                <w:color w:val="000000"/>
                <w:spacing w:val="0"/>
                <w:sz w:val="24"/>
                <w:szCs w:val="24"/>
                <w:bdr w:val="none" w:color="auto" w:sz="0" w:space="0"/>
              </w:rPr>
              <w:t>进一步夯实技术基础，切实保障医保信息系统高效、安全运行、提高数据采集质量和速度，加强打击欺诈骗保工作力度，切实保障医保基金合理有效使用，加快推进医保支付方式改革和DRG试点工作，有效提升综合监管、宣传引导、经办服务、人才队伍建设等医疗保障服务能力。</w:t>
            </w:r>
          </w:p>
        </w:tc>
        <w:tc>
          <w:tcPr>
            <w:tcW w:w="7150" w:type="dxa"/>
            <w:gridSpan w:val="5"/>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1. 信息化建设方面：一是成立我局网络安全和信息化领导小组，加强对全区医保系统网络安全和信息化工作的组织领导和统筹协调。二是完成了区内13个市“五险合一”一门式系统切换上线。三是建立与税务、银行的协调平台，实现与多家银行、广西人行结算中心的银社直连。四是在各市开展医保智能监控系统建设。五是完成广西医保信息平台可行性研究报告编制，目前业务部分、IT部分已完成70%的深化设计工作。六是完成OA系统电脑端和手机APP的开发，目前正在全区推广部署。七是与大数据发展局开展数据目录对接、数据资源汇聚、事项梳理发布等工作。</w:t>
            </w:r>
            <w:r>
              <w:rPr>
                <w:rFonts w:hint="default" w:ascii="Arial" w:hAnsi="Arial" w:eastAsia="sans-serif" w:cs="Arial"/>
                <w:i w:val="0"/>
                <w:iCs w:val="0"/>
                <w:caps w:val="0"/>
                <w:color w:val="000000"/>
                <w:spacing w:val="0"/>
                <w:sz w:val="24"/>
                <w:szCs w:val="24"/>
                <w:bdr w:val="none" w:color="auto" w:sz="0" w:space="0"/>
              </w:rPr>
              <w:br w:type="textWrapping"/>
            </w:r>
            <w:r>
              <w:rPr>
                <w:rFonts w:hint="default" w:ascii="Arial" w:hAnsi="Arial" w:eastAsia="sans-serif" w:cs="Arial"/>
                <w:i w:val="0"/>
                <w:iCs w:val="0"/>
                <w:caps w:val="0"/>
                <w:color w:val="000000"/>
                <w:spacing w:val="0"/>
                <w:sz w:val="24"/>
                <w:szCs w:val="24"/>
                <w:bdr w:val="none" w:color="auto" w:sz="0" w:space="0"/>
              </w:rPr>
              <w:t>    2. 基金监管方面：2019年，全区所有市、县实现了集中宣传和举报渠道全覆盖、奖励标准和工作方案全统一。通过采取飞行检查、现场交叉检查、“百日攻坚”等专项行动，全年共查处定点医药机构2695家，其中暂停服务协议435家，终止服务协议49家，行政处罚9家，移交司法机关3家。拒付违规使用医保基金1.9亿元，各医疗机构自查上报违规金额1.02亿元，共挽回医疗保障基金超过2.92亿元。在全国2019年打击欺诈骗取医疗保障基金专项治理工作中，我区总体和单项指标名列全国前茅，其中，举报奖励情况指标排名第一，获得了国家医保局领导的充分肯定。</w:t>
            </w:r>
            <w:r>
              <w:rPr>
                <w:rFonts w:hint="default" w:ascii="Arial" w:hAnsi="Arial" w:eastAsia="sans-serif" w:cs="Arial"/>
                <w:i w:val="0"/>
                <w:iCs w:val="0"/>
                <w:caps w:val="0"/>
                <w:color w:val="000000"/>
                <w:spacing w:val="0"/>
                <w:sz w:val="24"/>
                <w:szCs w:val="24"/>
                <w:bdr w:val="none" w:color="auto" w:sz="0" w:space="0"/>
              </w:rPr>
              <w:br w:type="textWrapping"/>
            </w:r>
            <w:r>
              <w:rPr>
                <w:rFonts w:hint="default" w:ascii="Arial" w:hAnsi="Arial" w:eastAsia="sans-serif" w:cs="Arial"/>
                <w:i w:val="0"/>
                <w:iCs w:val="0"/>
                <w:caps w:val="0"/>
                <w:color w:val="000000"/>
                <w:spacing w:val="0"/>
                <w:sz w:val="24"/>
                <w:szCs w:val="24"/>
                <w:bdr w:val="none" w:color="auto" w:sz="0" w:space="0"/>
              </w:rPr>
              <w:t>    3. 支付方式改革方面：2019年，稳步推进全区DRG付费方式改革，出台改革工作方案，成立自治区改革工作小组，通过引导区内三级医疗机构作为改革的先行者，引领同级、同类医院参与实施；完成了1100多万份城镇职工和城乡居民基本医疗保险住院病案数据的整理和规范；举办多层次改革培训班4期，培训全区医疗保障系统和定点医疗机构830人；按照国家分组技术规范，完成全区历史病历第一轮分组，进入368个ADRG组、992个DRG组。柳州市DRG试点成效明显，实现基金收支平稳，医疗机构积极参与，参保患者个人住院费用负担从试点前的25.56%降为21.34%，获得国务院督查组的肯定评价。梧州市国家DRG试点工作获国家试点城市总评“进度良好”。</w:t>
            </w:r>
            <w:r>
              <w:rPr>
                <w:rFonts w:hint="default" w:ascii="Arial" w:hAnsi="Arial" w:eastAsia="sans-serif" w:cs="Arial"/>
                <w:i w:val="0"/>
                <w:iCs w:val="0"/>
                <w:caps w:val="0"/>
                <w:color w:val="000000"/>
                <w:spacing w:val="0"/>
                <w:sz w:val="24"/>
                <w:szCs w:val="24"/>
                <w:bdr w:val="none" w:color="auto" w:sz="0" w:space="0"/>
              </w:rPr>
              <w:br w:type="textWrapping"/>
            </w:r>
            <w:r>
              <w:rPr>
                <w:rFonts w:hint="default" w:ascii="Arial" w:hAnsi="Arial" w:eastAsia="sans-serif" w:cs="Arial"/>
                <w:i w:val="0"/>
                <w:iCs w:val="0"/>
                <w:caps w:val="0"/>
                <w:color w:val="000000"/>
                <w:spacing w:val="0"/>
                <w:sz w:val="24"/>
                <w:szCs w:val="24"/>
                <w:bdr w:val="none" w:color="auto" w:sz="0" w:space="0"/>
              </w:rPr>
              <w:t>    4. 医保综合服务能力建设方面：2019年广西以便民为经办服务出发点，以医保扶贫为核心，以加强宣传引导和培养人才为重点，不断创新异地就医直接结算工作机制，医疗保障服务能力得到显著提高。一是通过多渠道多形式宣传，切实增强了广大群众的参保意识，使医保政策更加深入群众，确保群众入眼入脑入心。二是举办多次医保业务培训班，培训内容涵盖基金监管业务、医药价格和招标采购业务、多层次DRG业务、财务管理业务等，不断提高医保干部的业务素质能力。三是以“一站式”直接结算为支撑，以“村医通”结算为保障，确保建档立卡贫困人口就医待遇落实到位。截至2019年底，建档立卡贫困人口参保率达100%，实现了应保尽保，县域内定点医疗机构100%实现“一站式”直接结算；目前，占全区90%以上的12740个行政村实现“村医通”医保直接结算。四是截至2019年12月，全区有11223家定点医药机构接入全区异地就医结算平台，开通异地就医直接结算服务，符合条件的1837家住院类定点医疗机构全部开通跨省住院直接结算服务，数量居全国前列；全区构建异地就医直接结算服务“一张网”，实现自治区-市-县-乡（镇）-村（社区 ）五级异地就医直接结算“一卡通”，打通了异地就医直接结算“最后一公里”。五是通过简化手续，实行经办材料承诺制、容缺制，目前，非涉密医保业务95%实现“网上办、掌上办、马上办”。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312"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3702" w:type="dxa"/>
            <w:gridSpan w:val="3"/>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7150" w:type="dxa"/>
            <w:gridSpan w:val="5"/>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3324"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3702" w:type="dxa"/>
            <w:gridSpan w:val="3"/>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7150" w:type="dxa"/>
            <w:gridSpan w:val="5"/>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5220"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3702" w:type="dxa"/>
            <w:gridSpan w:val="3"/>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7150" w:type="dxa"/>
            <w:gridSpan w:val="5"/>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1155" w:hRule="atLeast"/>
        </w:trPr>
        <w:tc>
          <w:tcPr>
            <w:tcW w:w="3103" w:type="dxa"/>
            <w:vMerge w:val="restart"/>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绩效指标</w:t>
            </w:r>
          </w:p>
        </w:tc>
        <w:tc>
          <w:tcPr>
            <w:tcW w:w="184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一级指标</w:t>
            </w:r>
          </w:p>
        </w:tc>
        <w:tc>
          <w:tcPr>
            <w:tcW w:w="186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二级指标</w:t>
            </w: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三级指标</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eastAsia="sans-serif" w:cs="Arial"/>
                <w:i w:val="0"/>
                <w:iCs w:val="0"/>
                <w:caps w:val="0"/>
                <w:color w:val="000000"/>
                <w:spacing w:val="0"/>
                <w:sz w:val="24"/>
                <w:szCs w:val="24"/>
                <w:bdr w:val="none" w:color="auto" w:sz="0" w:space="0"/>
              </w:rPr>
            </w:pPr>
            <w:r>
              <w:rPr>
                <w:rFonts w:hint="default" w:ascii="Arial" w:hAnsi="Arial" w:eastAsia="sans-serif" w:cs="Arial"/>
                <w:i w:val="0"/>
                <w:iCs w:val="0"/>
                <w:caps w:val="0"/>
                <w:color w:val="000000"/>
                <w:spacing w:val="0"/>
                <w:sz w:val="24"/>
                <w:szCs w:val="24"/>
                <w:bdr w:val="none" w:color="auto" w:sz="0" w:space="0"/>
              </w:rPr>
              <w:t>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指标值</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全年完成值</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未完成原因和改进措施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613"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产出指标</w:t>
            </w:r>
          </w:p>
        </w:tc>
        <w:tc>
          <w:tcPr>
            <w:tcW w:w="1860"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数量指标</w:t>
            </w: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召开医保工作省级新闻发布会、政策吹风会</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≥2次</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2次</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2004"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召开医保工作政府信息公开省级工作会议或培训</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≥2次</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2次</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540"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医保信息系统验收合格率</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≥90%</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100%</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69"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医保信息系统正常运行率</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≥90%</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100%</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93"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医保信息系统重大安全事件响应时间</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≤60分钟</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30分钟</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20"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定点医药机构监督检查覆盖率</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100%</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100%</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420"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医保人才培训合格率</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≥90%</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100%</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708"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jc w:val="cente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推行医保支付方式改革和DRG试点</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逐步推开</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逐步推开</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3756"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时效指标</w:t>
            </w: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DRG试点进展模拟运行时间</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不晚于12月底</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晚于12月底</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未完成原因：我区于2019年8月底启动DRG付费结算平台建设项目招标工作，于2019年12月中旬按招标工作程序确定项目中标单位并签订采购合同，于2020年1月起，实施DRG结算信息平台建设，故DRG试点进展模拟运行时间延后。改进措施：我区通过建队伍、抓培训、采数据、树标准等举措，扎实推进各项试点工作，为进入模拟运行打下坚实基础。梧州市已于2020年3月完成三级定点医疗机构信息系统接口改造工作，实现DRG基础信息数据上传。力争在2020年6月，开始DRG试点进展模拟运行。</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324"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1842" w:type="dxa"/>
            <w:gridSpan w:val="2"/>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效益指标</w:t>
            </w:r>
          </w:p>
        </w:tc>
        <w:tc>
          <w:tcPr>
            <w:tcW w:w="1860"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社会效益指标</w:t>
            </w:r>
          </w:p>
        </w:tc>
        <w:tc>
          <w:tcPr>
            <w:tcW w:w="1704"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参保群众政策知晓率</w:t>
            </w:r>
          </w:p>
        </w:tc>
        <w:tc>
          <w:tcPr>
            <w:tcW w:w="1247" w:type="dxa"/>
            <w:gridSpan w:val="2"/>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普遍知晓</w:t>
            </w:r>
          </w:p>
        </w:tc>
        <w:tc>
          <w:tcPr>
            <w:tcW w:w="1381"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98%</w:t>
            </w:r>
          </w:p>
        </w:tc>
        <w:tc>
          <w:tcPr>
            <w:tcW w:w="2818" w:type="dxa"/>
            <w:vMerge w:val="restart"/>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276"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247"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381"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2818"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840"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1842" w:type="dxa"/>
            <w:gridSpan w:val="2"/>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860" w:type="dxa"/>
            <w:vMerge w:val="continue"/>
            <w:tcBorders>
              <w:top w:val="nil"/>
              <w:left w:val="nil"/>
              <w:bottom w:val="single" w:color="auto" w:sz="4" w:space="0"/>
              <w:right w:val="single" w:color="auto" w:sz="4" w:space="0"/>
            </w:tcBorders>
            <w:shd w:val="clear"/>
            <w:tcMar>
              <w:top w:w="0" w:type="dxa"/>
              <w:left w:w="84" w:type="dxa"/>
              <w:bottom w:w="0" w:type="dxa"/>
              <w:right w:w="84" w:type="dxa"/>
            </w:tcMar>
            <w:vAlign w:val="center"/>
          </w:tcPr>
          <w:p>
            <w:pPr>
              <w:jc w:val="both"/>
              <w:rPr>
                <w:rFonts w:hint="default" w:ascii="Arial" w:hAnsi="Arial" w:eastAsia="sans-serif" w:cs="Arial"/>
                <w:i w:val="0"/>
                <w:iCs w:val="0"/>
                <w:caps w:val="0"/>
                <w:color w:val="000000"/>
                <w:spacing w:val="0"/>
                <w:sz w:val="24"/>
                <w:szCs w:val="24"/>
              </w:rPr>
            </w:pP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跨省异地就医直接结算率</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有所提高</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较2018年增长24.6%</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trHeight w:val="1753" w:hRule="atLeast"/>
        </w:trPr>
        <w:tc>
          <w:tcPr>
            <w:tcW w:w="3103" w:type="dxa"/>
            <w:vMerge w:val="continue"/>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rPr>
                <w:rFonts w:hint="default" w:ascii="Arial" w:hAnsi="Arial" w:eastAsia="sans-serif" w:cs="Arial"/>
                <w:i w:val="0"/>
                <w:iCs w:val="0"/>
                <w:caps w:val="0"/>
                <w:color w:val="000000"/>
                <w:spacing w:val="0"/>
                <w:sz w:val="24"/>
                <w:szCs w:val="24"/>
              </w:rPr>
            </w:pPr>
          </w:p>
        </w:tc>
        <w:tc>
          <w:tcPr>
            <w:tcW w:w="1842"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满意度指标</w:t>
            </w:r>
          </w:p>
        </w:tc>
        <w:tc>
          <w:tcPr>
            <w:tcW w:w="1860"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服务对象满意度指标</w:t>
            </w:r>
          </w:p>
        </w:tc>
        <w:tc>
          <w:tcPr>
            <w:tcW w:w="1704"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参保人员对医保服务满意度</w:t>
            </w:r>
          </w:p>
        </w:tc>
        <w:tc>
          <w:tcPr>
            <w:tcW w:w="1247" w:type="dxa"/>
            <w:gridSpan w:val="2"/>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≥90%</w:t>
            </w:r>
          </w:p>
        </w:tc>
        <w:tc>
          <w:tcPr>
            <w:tcW w:w="1381"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98%</w:t>
            </w:r>
          </w:p>
        </w:tc>
        <w:tc>
          <w:tcPr>
            <w:tcW w:w="2818" w:type="dxa"/>
            <w:tcBorders>
              <w:top w:val="nil"/>
              <w:left w:val="nil"/>
              <w:bottom w:val="single" w:color="auto" w:sz="4" w:space="0"/>
              <w:right w:val="single" w:color="auto" w:sz="4" w:space="0"/>
            </w:tcBorders>
            <w:shd w:val="clear"/>
            <w:tcMar>
              <w:top w:w="0" w:type="dxa"/>
              <w:left w:w="84" w:type="dxa"/>
              <w:bottom w:w="0" w:type="dxa"/>
              <w:right w:w="84" w:type="dxa"/>
            </w:tcMar>
            <w:vAlign w:val="center"/>
          </w:tcPr>
          <w:p>
            <w:pPr>
              <w:keepNext w:val="0"/>
              <w:keepLines w:val="0"/>
              <w:widowControl/>
              <w:suppressLineNumbers w:val="0"/>
              <w:wordWrap w:val="0"/>
              <w:ind w:left="0" w:firstLine="0"/>
              <w:jc w:val="both"/>
              <w:rPr>
                <w:rFonts w:hint="default" w:ascii="Arial" w:hAnsi="Arial" w:eastAsia="sans-serif" w:cs="Arial"/>
                <w:i w:val="0"/>
                <w:iCs w:val="0"/>
                <w:caps w:val="0"/>
                <w:color w:val="000000"/>
                <w:spacing w:val="0"/>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wAfter w:w="0" w:type="auto"/>
          <w:trHeight w:val="790" w:hRule="atLeast"/>
        </w:trPr>
        <w:tc>
          <w:tcPr>
            <w:tcW w:w="3103" w:type="dxa"/>
            <w:tcBorders>
              <w:top w:val="nil"/>
              <w:left w:val="single" w:color="auto" w:sz="4" w:space="0"/>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说明</w:t>
            </w:r>
          </w:p>
        </w:tc>
        <w:tc>
          <w:tcPr>
            <w:tcW w:w="10852" w:type="dxa"/>
            <w:gridSpan w:val="8"/>
            <w:tcBorders>
              <w:top w:val="nil"/>
              <w:left w:val="nil"/>
              <w:bottom w:val="single" w:color="auto" w:sz="4" w:space="0"/>
              <w:right w:val="single" w:color="auto" w:sz="4" w:space="0"/>
            </w:tcBorders>
            <w:shd w:val="clear"/>
            <w:tcMar>
              <w:top w:w="0" w:type="dxa"/>
              <w:left w:w="84" w:type="dxa"/>
              <w:bottom w:w="0"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rPr>
              <w:t>2019年在中央巡视、各级审计和财政监督中未发现问题。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ODU5OTBjYzg0ODBhNGE3ZmI4OWFmM2JkMzNiMmIifQ=="/>
  </w:docVars>
  <w:rsids>
    <w:rsidRoot w:val="527D67A2"/>
    <w:rsid w:val="527D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2022-07-15T03:33:00Z</dcterms:created>
  <dc:creator>田泰亨</dc:creator>
  <cp:lastModifiedBy>田泰亨</cp:lastModifiedBy>
  <dcterms:modified xsi:type="dcterms:W3CDTF">2022-07-15T04:00:41Z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D4FE9D3E6B6F434FB9487EDD5BE4E6D6</vt:lpwstr>
  </property>
</Properties>
</file>