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pPr w:vertAnchor="text" w:tblpXSpec="left"/>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60" w:type="dxa"/>
          <w:left w:w="120" w:type="dxa"/>
          <w:bottom w:w="60" w:type="dxa"/>
          <w:right w:w="120" w:type="dxa"/>
        </w:tblCellMar>
      </w:tblPr>
      <w:tblGrid>
        <w:gridCol w:w="1200"/>
        <w:gridCol w:w="646"/>
        <w:gridCol w:w="853"/>
        <w:gridCol w:w="174"/>
        <w:gridCol w:w="1849"/>
        <w:gridCol w:w="669"/>
        <w:gridCol w:w="1335"/>
        <w:gridCol w:w="740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trHeight w:val="289" w:hRule="atLeast"/>
        </w:trPr>
        <w:tc>
          <w:tcPr>
            <w:tcW w:w="0" w:type="auto"/>
            <w:gridSpan w:val="8"/>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444" w:lineRule="atLeast"/>
              <w:ind w:left="0" w:right="0"/>
              <w:jc w:val="center"/>
              <w:rPr>
                <w:rFonts w:hint="eastAsia" w:ascii="宋体" w:hAnsi="宋体" w:eastAsia="宋体" w:cs="宋体"/>
                <w:b/>
                <w:bCs/>
                <w:sz w:val="44"/>
                <w:szCs w:val="44"/>
              </w:rPr>
            </w:pPr>
            <w:r>
              <w:rPr>
                <w:rFonts w:hint="eastAsia" w:ascii="宋体" w:hAnsi="宋体" w:eastAsia="宋体" w:cs="宋体"/>
                <w:b/>
                <w:bCs/>
                <w:sz w:val="44"/>
                <w:szCs w:val="44"/>
              </w:rPr>
              <w:t>中央对地方转移支付区域绩效目标表医疗救助补助资金</w:t>
            </w:r>
          </w:p>
          <w:p>
            <w:pPr>
              <w:pStyle w:val="2"/>
              <w:keepNext w:val="0"/>
              <w:keepLines w:val="0"/>
              <w:widowControl/>
              <w:suppressLineNumbers w:val="0"/>
              <w:spacing w:before="0" w:beforeAutospacing="0" w:after="0" w:afterAutospacing="0" w:line="444" w:lineRule="atLeast"/>
              <w:ind w:left="0" w:right="0"/>
              <w:jc w:val="center"/>
              <w:rPr>
                <w:rFonts w:hint="eastAsia" w:ascii="宋体" w:hAnsi="宋体" w:eastAsia="宋体" w:cs="宋体"/>
                <w:sz w:val="15"/>
                <w:szCs w:val="15"/>
                <w:bdr w:val="none" w:color="auto" w:sz="0" w:space="0"/>
              </w:rPr>
            </w:pPr>
            <w:bookmarkStart w:id="0" w:name="_GoBack"/>
            <w:bookmarkEnd w:id="0"/>
            <w:r>
              <w:rPr>
                <w:rFonts w:hint="eastAsia" w:ascii="宋体" w:hAnsi="宋体" w:eastAsia="宋体" w:cs="宋体"/>
                <w:b/>
                <w:bCs/>
                <w:sz w:val="44"/>
                <w:szCs w:val="44"/>
              </w:rPr>
              <w:t>（城乡医疗救助部分）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PrEx>
        <w:trPr>
          <w:trHeight w:val="289" w:hRule="atLeast"/>
        </w:trPr>
        <w:tc>
          <w:tcPr>
            <w:tcW w:w="0" w:type="auto"/>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项目名称</w:t>
            </w:r>
          </w:p>
        </w:tc>
        <w:tc>
          <w:tcPr>
            <w:tcW w:w="0" w:type="auto"/>
            <w:gridSpan w:val="2"/>
            <w:tcBorders>
              <w:top w:val="single" w:color="auto" w:sz="4" w:space="0"/>
              <w:left w:val="single" w:color="000000" w:sz="2" w:space="0"/>
              <w:bottom w:val="single" w:color="auto" w:sz="4" w:space="0"/>
              <w:right w:val="single" w:color="000000" w:sz="2" w:space="0"/>
            </w:tcBorders>
            <w:shd w:val="clear"/>
            <w:tcMar>
              <w:top w:w="0" w:type="dxa"/>
              <w:left w:w="84" w:type="dxa"/>
              <w:bottom w:w="0" w:type="dxa"/>
              <w:right w:w="84"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0" w:type="auto"/>
            <w:gridSpan w:val="5"/>
            <w:tcBorders>
              <w:top w:val="single" w:color="auto" w:sz="4" w:space="0"/>
              <w:left w:val="single" w:color="000000" w:sz="2"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医疗救助补助资金（城乡医疗救助部分）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trHeight w:val="336" w:hRule="atLeast"/>
        </w:trPr>
        <w:tc>
          <w:tcPr>
            <w:tcW w:w="0" w:type="auto"/>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中央主管部门</w:t>
            </w:r>
          </w:p>
        </w:tc>
        <w:tc>
          <w:tcPr>
            <w:tcW w:w="0" w:type="auto"/>
            <w:gridSpan w:val="2"/>
            <w:tcBorders>
              <w:top w:val="nil"/>
              <w:left w:val="nil"/>
              <w:bottom w:val="single" w:color="auto" w:sz="4" w:space="0"/>
              <w:right w:val="nil"/>
            </w:tcBorders>
            <w:shd w:val="clear"/>
            <w:tcMar>
              <w:top w:w="0" w:type="dxa"/>
              <w:left w:w="84" w:type="dxa"/>
              <w:bottom w:w="0" w:type="dxa"/>
              <w:right w:w="84"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0" w:type="auto"/>
            <w:gridSpan w:val="5"/>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国家医疗保障局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trHeight w:val="732" w:hRule="atLeast"/>
        </w:trPr>
        <w:tc>
          <w:tcPr>
            <w:tcW w:w="0" w:type="auto"/>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省级财政部门</w:t>
            </w:r>
          </w:p>
        </w:tc>
        <w:tc>
          <w:tcPr>
            <w:tcW w:w="0" w:type="auto"/>
            <w:gridSpan w:val="3"/>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广西壮族自治区财政厅</w:t>
            </w:r>
          </w:p>
        </w:tc>
        <w:tc>
          <w:tcPr>
            <w:tcW w:w="0" w:type="auto"/>
            <w:tcBorders>
              <w:top w:val="nil"/>
              <w:left w:val="nil"/>
              <w:bottom w:val="single" w:color="auto" w:sz="4" w:space="0"/>
              <w:right w:val="nil"/>
            </w:tcBorders>
            <w:shd w:val="clear"/>
            <w:tcMar>
              <w:top w:w="0" w:type="dxa"/>
              <w:left w:w="84" w:type="dxa"/>
              <w:bottom w:w="0" w:type="dxa"/>
              <w:right w:w="84"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省级主管部门</w:t>
            </w:r>
          </w:p>
        </w:tc>
        <w:tc>
          <w:tcPr>
            <w:tcW w:w="0" w:type="auto"/>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广西壮族自治区医疗保障局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PrEx>
        <w:trPr>
          <w:trHeight w:val="264" w:hRule="atLeast"/>
        </w:trPr>
        <w:tc>
          <w:tcPr>
            <w:tcW w:w="0" w:type="auto"/>
            <w:vMerge w:val="restart"/>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资金情况（万元））</w:t>
            </w:r>
          </w:p>
        </w:tc>
        <w:tc>
          <w:tcPr>
            <w:tcW w:w="0" w:type="auto"/>
            <w:gridSpan w:val="2"/>
            <w:tcBorders>
              <w:top w:val="nil"/>
              <w:left w:val="nil"/>
              <w:bottom w:val="nil"/>
              <w:right w:val="single" w:color="auto" w:sz="4" w:space="0"/>
            </w:tcBorders>
            <w:shd w:val="clear"/>
            <w:tcMar>
              <w:top w:w="0" w:type="dxa"/>
              <w:left w:w="84" w:type="dxa"/>
              <w:bottom w:w="0" w:type="dxa"/>
              <w:right w:w="84"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年度资金总额</w:t>
            </w:r>
          </w:p>
        </w:tc>
        <w:tc>
          <w:tcPr>
            <w:tcW w:w="0" w:type="auto"/>
            <w:gridSpan w:val="5"/>
            <w:tcBorders>
              <w:top w:val="nil"/>
              <w:left w:val="nil"/>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134301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trHeight w:val="360" w:hRule="atLeast"/>
        </w:trPr>
        <w:tc>
          <w:tcPr>
            <w:tcW w:w="0" w:type="auto"/>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0" w:type="auto"/>
            <w:gridSpan w:val="2"/>
            <w:tcBorders>
              <w:top w:val="nil"/>
              <w:left w:val="nil"/>
              <w:bottom w:val="nil"/>
              <w:right w:val="single" w:color="auto" w:sz="4" w:space="0"/>
            </w:tcBorders>
            <w:shd w:val="clear"/>
            <w:tcMar>
              <w:top w:w="0" w:type="dxa"/>
              <w:left w:w="84" w:type="dxa"/>
              <w:bottom w:w="0" w:type="dxa"/>
              <w:right w:w="84"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其中：中央补助</w:t>
            </w:r>
          </w:p>
        </w:tc>
        <w:tc>
          <w:tcPr>
            <w:tcW w:w="0" w:type="auto"/>
            <w:gridSpan w:val="5"/>
            <w:tcBorders>
              <w:top w:val="nil"/>
              <w:left w:val="nil"/>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114301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trHeight w:val="301" w:hRule="atLeast"/>
        </w:trPr>
        <w:tc>
          <w:tcPr>
            <w:tcW w:w="0" w:type="auto"/>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0" w:type="auto"/>
            <w:gridSpan w:val="2"/>
            <w:tcBorders>
              <w:top w:val="nil"/>
              <w:left w:val="nil"/>
              <w:bottom w:val="single" w:color="000000" w:sz="4" w:space="0"/>
              <w:right w:val="single" w:color="auto" w:sz="4" w:space="0"/>
            </w:tcBorders>
            <w:shd w:val="clear"/>
            <w:tcMar>
              <w:top w:w="0" w:type="dxa"/>
              <w:left w:w="84" w:type="dxa"/>
              <w:bottom w:w="0" w:type="dxa"/>
              <w:right w:w="84"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地方资金</w:t>
            </w:r>
          </w:p>
        </w:tc>
        <w:tc>
          <w:tcPr>
            <w:tcW w:w="0" w:type="auto"/>
            <w:gridSpan w:val="5"/>
            <w:tcBorders>
              <w:top w:val="nil"/>
              <w:left w:val="nil"/>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20000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trHeight w:val="1897" w:hRule="atLeast"/>
        </w:trPr>
        <w:tc>
          <w:tcPr>
            <w:tcW w:w="0" w:type="auto"/>
            <w:gridSpan w:val="3"/>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总体目标</w:t>
            </w:r>
          </w:p>
        </w:tc>
        <w:tc>
          <w:tcPr>
            <w:tcW w:w="0" w:type="auto"/>
            <w:gridSpan w:val="5"/>
            <w:tcBorders>
              <w:top w:val="nil"/>
              <w:left w:val="nil"/>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目标1：持续实施重特大疾病医疗救助；</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目标2：重点对象自负费用年度限额内住院救助比例达到70%；</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目标3：年度救助对象人次规模与上年持平；</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目标4：强化医疗救助规范管理。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trHeight w:val="708" w:hRule="atLeast"/>
        </w:trPr>
        <w:tc>
          <w:tcPr>
            <w:tcW w:w="0" w:type="auto"/>
            <w:vMerge w:val="restart"/>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绩效指标</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一级指标</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二级指标</w:t>
            </w:r>
          </w:p>
        </w:tc>
        <w:tc>
          <w:tcPr>
            <w:tcW w:w="0" w:type="auto"/>
            <w:tcBorders>
              <w:top w:val="nil"/>
              <w:left w:val="nil"/>
              <w:bottom w:val="single" w:color="auto" w:sz="4" w:space="0"/>
              <w:right w:val="nil"/>
            </w:tcBorders>
            <w:shd w:val="clear"/>
            <w:tcMar>
              <w:top w:w="0" w:type="dxa"/>
              <w:left w:w="84" w:type="dxa"/>
              <w:bottom w:w="0" w:type="dxa"/>
              <w:right w:w="84"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三级指标</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年度指标值</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全年完成值</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未完成原因和改进措施</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trHeight w:val="2941" w:hRule="atLeast"/>
        </w:trPr>
        <w:tc>
          <w:tcPr>
            <w:tcW w:w="0" w:type="auto"/>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0" w:type="auto"/>
            <w:vMerge w:val="restart"/>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数量指标</w:t>
            </w:r>
          </w:p>
        </w:tc>
        <w:tc>
          <w:tcPr>
            <w:tcW w:w="0" w:type="auto"/>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重特大疾病医疗救助人次占直接救助人次比重</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≥28%</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18%</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Style w:val="5"/>
                <w:rFonts w:hint="eastAsia" w:ascii="宋体" w:hAnsi="宋体" w:eastAsia="宋体" w:cs="宋体"/>
                <w:sz w:val="24"/>
                <w:szCs w:val="24"/>
                <w:bdr w:val="none" w:color="auto" w:sz="0" w:space="0"/>
              </w:rPr>
              <w:t>未完成原因</w:t>
            </w:r>
            <w:r>
              <w:rPr>
                <w:rFonts w:hint="eastAsia" w:ascii="宋体" w:hAnsi="宋体" w:eastAsia="宋体" w:cs="宋体"/>
                <w:sz w:val="24"/>
                <w:szCs w:val="24"/>
                <w:bdr w:val="none" w:color="auto" w:sz="0" w:space="0"/>
              </w:rPr>
              <w:t>：在2019年绩效指标中，我区“重特大疾病医疗救助人次占直接救助人次比例”为18%。2018年，该项比例仅为2.44%，2019年该项比例虽已较前明显提高，但仍未能达到目标值25%的要求。主要原因：2019年11月1日前，我区仍执行《广西壮族自治区人民政府办公厅关于全面开展重特大疾病医疗救助工作的通知》（桂政办发〔2015〕124号）的相关规定，主要存在以下几个问题：一是重特大疾病的医疗救助范围过窄。我区现行政策仅将乳腺癌、宫颈癌、肺癌等部分恶性肿瘤纳入重特大疾病医疗救助，对患有其他恶性肿瘤、重型和中间型地中海贫血等重特大疾病人员未纳入救助范围，医疗救助的保障范围过窄。二是重特大疾病医疗救助标准偏低。患重特大疾病的救助对象经基本医疗保险、城乡居民大病保险、各类补充医疗保险、商业保险补偿（报销）后，一次诊疗过程或同一病种年度累计个人自负的合规医疗费用仍超过3万元的，纳入重特大疾病医疗救助。对一类人员（特困供养人员）的重特大疾病住院医疗救助，年度累计最高限额仅为1万元，相较于周边省份的标准，明显偏低。三是“一站式”“一单制”即时结算尚未实现全区覆盖。大病保险还存在年底结算、跨年结算的情况，导致医疗救助资金在当年不能及时结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2019年11月1日后执行桂医保规〔2019〕3号文件，扩大了重特大疾病医疗救助的病种范围，将各种恶性肿瘤纳入救助范围，提高了救助标准，但政策效应具有滞后性的特点，建议考虑我区实际，对“重特大疾病医疗救助人次占直接救助人次比例”这项绩效指标的考核，作不扣分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Style w:val="5"/>
                <w:rFonts w:hint="eastAsia" w:ascii="宋体" w:hAnsi="宋体" w:eastAsia="宋体" w:cs="宋体"/>
                <w:sz w:val="24"/>
                <w:szCs w:val="24"/>
                <w:bdr w:val="none" w:color="auto" w:sz="0" w:space="0"/>
              </w:rPr>
              <w:t>改进措施：</w:t>
            </w:r>
            <w:r>
              <w:rPr>
                <w:rFonts w:hint="eastAsia" w:ascii="宋体" w:hAnsi="宋体" w:eastAsia="宋体" w:cs="宋体"/>
                <w:sz w:val="24"/>
                <w:szCs w:val="24"/>
                <w:bdr w:val="none" w:color="auto" w:sz="0" w:space="0"/>
              </w:rPr>
              <w:t>下一步，我们我区将继续跟进调研重特大疾病医疗救助工作实际情况，梳理现有政策，适时进行政策调整，充分发挥重特大疾病医疗救助对预防因病致贫、因病返贫的重大作用。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trHeight w:val="1008" w:hRule="atLeast"/>
        </w:trPr>
        <w:tc>
          <w:tcPr>
            <w:tcW w:w="0" w:type="auto"/>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0" w:type="auto"/>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质量指标</w:t>
            </w:r>
          </w:p>
        </w:tc>
        <w:tc>
          <w:tcPr>
            <w:tcW w:w="0" w:type="auto"/>
            <w:tcBorders>
              <w:top w:val="nil"/>
              <w:left w:val="nil"/>
              <w:bottom w:val="single" w:color="auto" w:sz="4" w:space="0"/>
              <w:right w:val="nil"/>
            </w:tcBorders>
            <w:shd w:val="clear"/>
            <w:tcMar>
              <w:top w:w="0" w:type="dxa"/>
              <w:left w:w="84" w:type="dxa"/>
              <w:bottom w:w="0" w:type="dxa"/>
              <w:right w:w="84"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重点救助对象政策范围内住院自付费年度限额内救助比例</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≥70%</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≥80%</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trHeight w:val="576" w:hRule="atLeast"/>
        </w:trPr>
        <w:tc>
          <w:tcPr>
            <w:tcW w:w="0" w:type="auto"/>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0" w:type="auto"/>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时效指标</w:t>
            </w:r>
          </w:p>
        </w:tc>
        <w:tc>
          <w:tcPr>
            <w:tcW w:w="0" w:type="auto"/>
            <w:tcBorders>
              <w:top w:val="nil"/>
              <w:left w:val="nil"/>
              <w:bottom w:val="single" w:color="auto" w:sz="4" w:space="0"/>
              <w:right w:val="nil"/>
            </w:tcBorders>
            <w:shd w:val="clear"/>
            <w:tcMar>
              <w:top w:w="0" w:type="dxa"/>
              <w:left w:w="84" w:type="dxa"/>
              <w:bottom w:w="0" w:type="dxa"/>
              <w:right w:w="84"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0" w:type="auto"/>
            <w:tcBorders>
              <w:top w:val="nil"/>
              <w:left w:val="nil"/>
              <w:bottom w:val="single" w:color="auto" w:sz="4" w:space="0"/>
              <w:right w:val="single" w:color="000000"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“一站式”即时结算覆盖地区</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不低于上年</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结算覆盖地区较往年增加</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trHeight w:val="576" w:hRule="atLeast"/>
        </w:trPr>
        <w:tc>
          <w:tcPr>
            <w:tcW w:w="0" w:type="auto"/>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0" w:type="auto"/>
            <w:vMerge w:val="restart"/>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0" w:type="auto"/>
            <w:vMerge w:val="restart"/>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社会效益指标</w:t>
            </w:r>
          </w:p>
        </w:tc>
        <w:tc>
          <w:tcPr>
            <w:tcW w:w="0" w:type="auto"/>
            <w:tcBorders>
              <w:top w:val="nil"/>
              <w:left w:val="nil"/>
              <w:bottom w:val="single" w:color="auto" w:sz="4" w:space="0"/>
              <w:right w:val="nil"/>
            </w:tcBorders>
            <w:shd w:val="clear"/>
            <w:tcMar>
              <w:top w:w="0" w:type="dxa"/>
              <w:left w:w="84" w:type="dxa"/>
              <w:bottom w:w="0" w:type="dxa"/>
              <w:right w:w="84"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0" w:type="auto"/>
            <w:tcBorders>
              <w:top w:val="nil"/>
              <w:left w:val="nil"/>
              <w:bottom w:val="single" w:color="auto" w:sz="4" w:space="0"/>
              <w:right w:val="single" w:color="000000"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医疗救助对象覆盖范围</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稳步拓展</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低收入及因病返贫对象标准明确</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trHeight w:val="768" w:hRule="atLeast"/>
        </w:trPr>
        <w:tc>
          <w:tcPr>
            <w:tcW w:w="0" w:type="auto"/>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0" w:type="auto"/>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0" w:type="auto"/>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0" w:type="auto"/>
            <w:tcBorders>
              <w:top w:val="nil"/>
              <w:left w:val="nil"/>
              <w:bottom w:val="single" w:color="auto" w:sz="4" w:space="0"/>
              <w:right w:val="nil"/>
            </w:tcBorders>
            <w:shd w:val="clear"/>
            <w:tcMar>
              <w:top w:w="0" w:type="dxa"/>
              <w:left w:w="84" w:type="dxa"/>
              <w:bottom w:w="0" w:type="dxa"/>
              <w:right w:w="84"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0" w:type="auto"/>
            <w:tcBorders>
              <w:top w:val="nil"/>
              <w:left w:val="nil"/>
              <w:bottom w:val="single" w:color="auto" w:sz="4" w:space="0"/>
              <w:right w:val="single" w:color="000000"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困难群众看病就医方便程度</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明显提高</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困难群众看病就医效率较上年提高10%</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PrEx>
        <w:trPr>
          <w:trHeight w:val="768" w:hRule="atLeast"/>
        </w:trPr>
        <w:tc>
          <w:tcPr>
            <w:tcW w:w="0" w:type="auto"/>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0" w:type="auto"/>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0" w:type="auto"/>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0" w:type="auto"/>
            <w:tcBorders>
              <w:top w:val="nil"/>
              <w:left w:val="nil"/>
              <w:bottom w:val="single" w:color="auto" w:sz="4" w:space="0"/>
              <w:right w:val="nil"/>
            </w:tcBorders>
            <w:shd w:val="clear"/>
            <w:tcMar>
              <w:top w:w="0" w:type="dxa"/>
              <w:left w:w="84" w:type="dxa"/>
              <w:bottom w:w="0" w:type="dxa"/>
              <w:right w:w="84"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0" w:type="auto"/>
            <w:tcBorders>
              <w:top w:val="nil"/>
              <w:left w:val="nil"/>
              <w:bottom w:val="single" w:color="auto" w:sz="4" w:space="0"/>
              <w:right w:val="single" w:color="000000"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困难群众就医负担减轻程度</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有效缓解</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困难群众就医负担减轻程度较上年提高10%</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trHeight w:val="456" w:hRule="atLeast"/>
        </w:trPr>
        <w:tc>
          <w:tcPr>
            <w:tcW w:w="0" w:type="auto"/>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0" w:type="auto"/>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0" w:type="auto"/>
            <w:vMerge w:val="restart"/>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可持续影响指标</w:t>
            </w:r>
          </w:p>
        </w:tc>
        <w:tc>
          <w:tcPr>
            <w:tcW w:w="0" w:type="auto"/>
            <w:tcBorders>
              <w:top w:val="nil"/>
              <w:left w:val="nil"/>
              <w:bottom w:val="single" w:color="auto" w:sz="4" w:space="0"/>
              <w:right w:val="nil"/>
            </w:tcBorders>
            <w:shd w:val="clear"/>
            <w:tcMar>
              <w:top w:w="0" w:type="dxa"/>
              <w:left w:w="84" w:type="dxa"/>
              <w:bottom w:w="0" w:type="dxa"/>
              <w:right w:w="84"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0" w:type="auto"/>
            <w:tcBorders>
              <w:top w:val="nil"/>
              <w:left w:val="nil"/>
              <w:bottom w:val="single" w:color="auto" w:sz="4" w:space="0"/>
              <w:right w:val="single" w:color="000000"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对健全社会救助体系的影响</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成效明显</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成效明显</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trHeight w:val="456" w:hRule="atLeast"/>
        </w:trPr>
        <w:tc>
          <w:tcPr>
            <w:tcW w:w="0" w:type="auto"/>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0" w:type="auto"/>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0" w:type="auto"/>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0" w:type="auto"/>
            <w:tcBorders>
              <w:top w:val="nil"/>
              <w:left w:val="nil"/>
              <w:bottom w:val="single" w:color="auto" w:sz="4" w:space="0"/>
              <w:right w:val="nil"/>
            </w:tcBorders>
            <w:shd w:val="clear"/>
            <w:tcMar>
              <w:top w:w="0" w:type="dxa"/>
              <w:left w:w="84" w:type="dxa"/>
              <w:bottom w:w="0" w:type="dxa"/>
              <w:right w:w="84"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0" w:type="auto"/>
            <w:tcBorders>
              <w:top w:val="nil"/>
              <w:left w:val="nil"/>
              <w:bottom w:val="single" w:color="auto" w:sz="4" w:space="0"/>
              <w:right w:val="single" w:color="000000"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对健全社会保障体系的作用</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成效明显</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成效明显</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trHeight w:val="456" w:hRule="atLeast"/>
        </w:trPr>
        <w:tc>
          <w:tcPr>
            <w:tcW w:w="0" w:type="auto"/>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0" w:type="auto"/>
            <w:vMerge w:val="restart"/>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满意度指标</w:t>
            </w:r>
          </w:p>
        </w:tc>
        <w:tc>
          <w:tcPr>
            <w:tcW w:w="0" w:type="auto"/>
            <w:vMerge w:val="restart"/>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服务对象满意度指标</w:t>
            </w:r>
          </w:p>
        </w:tc>
        <w:tc>
          <w:tcPr>
            <w:tcW w:w="0" w:type="auto"/>
            <w:tcBorders>
              <w:top w:val="nil"/>
              <w:left w:val="nil"/>
              <w:bottom w:val="single" w:color="auto" w:sz="4" w:space="0"/>
              <w:right w:val="nil"/>
            </w:tcBorders>
            <w:shd w:val="clear"/>
            <w:tcMar>
              <w:top w:w="0" w:type="dxa"/>
              <w:left w:w="84" w:type="dxa"/>
              <w:bottom w:w="0" w:type="dxa"/>
              <w:right w:w="84"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0" w:type="auto"/>
            <w:tcBorders>
              <w:top w:val="nil"/>
              <w:left w:val="nil"/>
              <w:bottom w:val="single" w:color="auto" w:sz="4" w:space="0"/>
              <w:right w:val="single" w:color="000000"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政策知晓率</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≥80%</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90%</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trHeight w:val="456" w:hRule="atLeast"/>
        </w:trPr>
        <w:tc>
          <w:tcPr>
            <w:tcW w:w="0" w:type="auto"/>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0" w:type="auto"/>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0" w:type="auto"/>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0" w:type="auto"/>
            <w:tcBorders>
              <w:top w:val="nil"/>
              <w:left w:val="nil"/>
              <w:bottom w:val="single" w:color="auto" w:sz="4" w:space="0"/>
              <w:right w:val="nil"/>
            </w:tcBorders>
            <w:shd w:val="clear"/>
            <w:tcMar>
              <w:top w:w="0" w:type="dxa"/>
              <w:left w:w="84" w:type="dxa"/>
              <w:bottom w:w="0" w:type="dxa"/>
              <w:right w:w="84"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0" w:type="auto"/>
            <w:tcBorders>
              <w:top w:val="nil"/>
              <w:left w:val="nil"/>
              <w:bottom w:val="single" w:color="auto" w:sz="4" w:space="0"/>
              <w:right w:val="single" w:color="000000"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工作满意度</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≥85%</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95%</w:t>
            </w:r>
          </w:p>
        </w:tc>
        <w:tc>
          <w:tcPr>
            <w:tcW w:w="0" w:type="auto"/>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bl>
    <w:p>
      <w:pPr>
        <w:pStyle w:val="2"/>
        <w:keepNext w:val="0"/>
        <w:keepLines w:val="0"/>
        <w:widowControl/>
        <w:suppressLineNumbers w:val="0"/>
        <w:spacing w:line="315" w:lineRule="atLeast"/>
      </w:pPr>
    </w:p>
    <w:p>
      <w:pPr>
        <w:pStyle w:val="2"/>
        <w:keepNext w:val="0"/>
        <w:keepLines w:val="0"/>
        <w:widowControl/>
        <w:suppressLineNumbers w:val="0"/>
        <w:spacing w:line="315" w:lineRule="atLeast"/>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zODU5OTBjYzg0ODBhNGE3ZmI4OWFmM2JkMzNiMmIifQ=="/>
  </w:docVars>
  <w:rsids>
    <w:rsidRoot w:val="1A690D0E"/>
    <w:rsid w:val="1A690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2022-07-15T11:22:00Z</dcterms:created>
  <dc:creator>田泰亨</dc:creator>
  <cp:lastModifiedBy>田泰亨</cp:lastModifiedBy>
  <dcterms:modified xsi:type="dcterms:W3CDTF">2022-07-15T11:25:11Z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38F89E4EACDC4460A7EB4417F44723A2</vt:lpwstr>
  </property>
</Properties>
</file>